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2A09B2" w:rsidRPr="00620B19" w:rsidRDefault="002A09B2" w:rsidP="002A09B2">
      <w:pPr>
        <w:tabs>
          <w:tab w:val="left" w:pos="14656"/>
        </w:tabs>
        <w:jc w:val="center"/>
        <w:rPr>
          <w:b/>
          <w:sz w:val="20"/>
          <w:lang w:eastAsia="lt-LT"/>
        </w:rPr>
      </w:pPr>
      <w:r w:rsidRPr="00620B19">
        <w:rPr>
          <w:b/>
          <w:lang w:eastAsia="lt-LT"/>
        </w:rPr>
        <w:t>KLAIPĖDOS</w:t>
      </w:r>
      <w:r>
        <w:rPr>
          <w:b/>
          <w:lang w:eastAsia="lt-LT"/>
        </w:rPr>
        <w:t xml:space="preserve"> VYTAUTO DIDŽIOJO </w:t>
      </w:r>
      <w:r w:rsidRPr="00620B19">
        <w:rPr>
          <w:b/>
          <w:lang w:eastAsia="lt-LT"/>
        </w:rPr>
        <w:t>GIMNAZIJOS</w:t>
      </w:r>
    </w:p>
    <w:p w:rsidR="002A09B2" w:rsidRDefault="002A09B2" w:rsidP="002A09B2">
      <w:pPr>
        <w:jc w:val="center"/>
        <w:rPr>
          <w:b/>
          <w:lang w:eastAsia="lt-LT"/>
        </w:rPr>
      </w:pPr>
      <w:r>
        <w:rPr>
          <w:b/>
          <w:lang w:eastAsia="lt-LT"/>
        </w:rPr>
        <w:t>2021 METŲ VEIKLOS ATASKAITA</w:t>
      </w:r>
    </w:p>
    <w:p w:rsidR="002A09B2" w:rsidRDefault="002A09B2" w:rsidP="00072990">
      <w:pPr>
        <w:rPr>
          <w:b/>
          <w:lang w:eastAsia="lt-LT"/>
        </w:rPr>
      </w:pPr>
    </w:p>
    <w:p w:rsidR="00E86EB2" w:rsidRDefault="00E86EB2" w:rsidP="006E6659">
      <w:pPr>
        <w:ind w:firstLine="603"/>
        <w:jc w:val="both"/>
      </w:pPr>
      <w:r w:rsidRPr="00191C97">
        <w:t xml:space="preserve">Klaipėdos </w:t>
      </w:r>
      <w:r>
        <w:t>V</w:t>
      </w:r>
      <w:r w:rsidRPr="00EF0374">
        <w:rPr>
          <w:bCs/>
          <w:lang w:eastAsia="lt-LT"/>
        </w:rPr>
        <w:t xml:space="preserve">ytauto </w:t>
      </w:r>
      <w:r>
        <w:rPr>
          <w:bCs/>
          <w:lang w:eastAsia="lt-LT"/>
        </w:rPr>
        <w:t>D</w:t>
      </w:r>
      <w:r w:rsidRPr="00EF0374">
        <w:rPr>
          <w:bCs/>
          <w:lang w:eastAsia="lt-LT"/>
        </w:rPr>
        <w:t>idžiojo</w:t>
      </w:r>
      <w:r>
        <w:rPr>
          <w:b/>
          <w:lang w:eastAsia="lt-LT"/>
        </w:rPr>
        <w:t xml:space="preserve"> </w:t>
      </w:r>
      <w:r>
        <w:t>gimnazija</w:t>
      </w:r>
      <w:r w:rsidRPr="00191C97">
        <w:t xml:space="preserve"> (toliau – Gimnazija) </w:t>
      </w:r>
      <w:r>
        <w:t xml:space="preserve">įgyvendina </w:t>
      </w:r>
      <w:r w:rsidRPr="006403E3">
        <w:t xml:space="preserve">pagrindinio ugdymo programos </w:t>
      </w:r>
      <w:r>
        <w:t>II</w:t>
      </w:r>
      <w:r w:rsidRPr="006403E3">
        <w:t xml:space="preserve"> dal</w:t>
      </w:r>
      <w:r>
        <w:t>į</w:t>
      </w:r>
      <w:r w:rsidRPr="006403E3">
        <w:t>, akredituot</w:t>
      </w:r>
      <w:r>
        <w:t>ą</w:t>
      </w:r>
      <w:r w:rsidRPr="006403E3">
        <w:t xml:space="preserve"> vidurinio ugdymo program</w:t>
      </w:r>
      <w:r>
        <w:t>ą</w:t>
      </w:r>
      <w:r w:rsidRPr="006403E3">
        <w:t xml:space="preserve"> ir neformaliojo vaikų švietimo program</w:t>
      </w:r>
      <w:r>
        <w:t>a</w:t>
      </w:r>
      <w:r w:rsidRPr="006403E3">
        <w:t>s, ir įgyvendinama specializuoto ugdymo krypties programų (vidurinio) sporto ugdymo dalis Lietuvos Respublikos švietimo, mokslo ir sporto ministro nustatyta tvarka.</w:t>
      </w:r>
    </w:p>
    <w:p w:rsidR="00E86EB2" w:rsidRPr="00622579" w:rsidRDefault="00E86EB2" w:rsidP="006E6659">
      <w:pPr>
        <w:ind w:firstLine="603"/>
        <w:jc w:val="both"/>
      </w:pPr>
      <w:r w:rsidRPr="00070697">
        <w:t>2021-09-01 duomenimis Gimnazijoje ugdyt</w:t>
      </w:r>
      <w:r>
        <w:t>i</w:t>
      </w:r>
      <w:r w:rsidRPr="00070697">
        <w:t xml:space="preserve"> </w:t>
      </w:r>
      <w:r>
        <w:t xml:space="preserve">664 </w:t>
      </w:r>
      <w:r w:rsidRPr="00070697">
        <w:t>mokini</w:t>
      </w:r>
      <w:r>
        <w:t>ai</w:t>
      </w:r>
      <w:r w:rsidRPr="00070697">
        <w:t xml:space="preserve"> (2020 m. – </w:t>
      </w:r>
      <w:r w:rsidRPr="00C66E34">
        <w:t>631</w:t>
      </w:r>
      <w:r w:rsidRPr="00070697">
        <w:t xml:space="preserve">), iš jų </w:t>
      </w:r>
      <w:r>
        <w:t>311</w:t>
      </w:r>
      <w:r w:rsidRPr="00070697">
        <w:t xml:space="preserve"> mokiniai – </w:t>
      </w:r>
      <w:r>
        <w:t xml:space="preserve">II </w:t>
      </w:r>
      <w:r w:rsidRPr="00070697">
        <w:t xml:space="preserve">klasėse, </w:t>
      </w:r>
      <w:r>
        <w:t>353</w:t>
      </w:r>
      <w:r w:rsidRPr="00070697">
        <w:t xml:space="preserve"> mokiniai – </w:t>
      </w:r>
      <w:r>
        <w:t>III</w:t>
      </w:r>
      <w:r w:rsidRPr="00191C97">
        <w:t>–</w:t>
      </w:r>
      <w:r>
        <w:t>IV</w:t>
      </w:r>
      <w:r w:rsidRPr="00070697">
        <w:t xml:space="preserve"> klasėse</w:t>
      </w:r>
      <w:r>
        <w:t>.</w:t>
      </w:r>
      <w:r>
        <w:rPr>
          <w:color w:val="222222"/>
          <w:shd w:val="clear" w:color="auto" w:fill="FFFFFF"/>
        </w:rPr>
        <w:t xml:space="preserve"> Dirbo 58 pedagogai, t. y. 58,81 etato (2020 m. – 68,05 etato), ir 28 nepedagoginiai darbuotojai, t. y. 36,75 etato (2020 m. – 36,75 etato).</w:t>
      </w:r>
    </w:p>
    <w:p w:rsidR="00E86EB2" w:rsidRPr="00070697" w:rsidRDefault="00E86EB2" w:rsidP="006E6659">
      <w:pPr>
        <w:ind w:firstLine="603"/>
        <w:jc w:val="both"/>
      </w:pPr>
      <w:r w:rsidRPr="00622579">
        <w:t xml:space="preserve">Praėjusiais metais Gimnazija veikė, vadovaudamasi 2021–2023 m. strateginiu planu (toliau – </w:t>
      </w:r>
      <w:r w:rsidRPr="00611B30">
        <w:t>Strateginis planas) ir 2021 m. veiklos planu (toliau – Veiklos planas). Gimnazijos bendruomenė 2021 m. išsikėlė šią prioritetinės veiklos kryptį: sudaryti sąlygas kiekvienam mokiniui siekti asmeninės pažangos.</w:t>
      </w:r>
      <w:r w:rsidRPr="00622579">
        <w:t xml:space="preserve"> Strateginiame ir Veiklos planuose buvo iškelti konkretūs veiklos tikslai ir uždaviniai, numatytos veiksmingos priemonės laukiamam rezultatui pasiekti.</w:t>
      </w:r>
    </w:p>
    <w:p w:rsidR="00E86EB2" w:rsidRPr="00611B30" w:rsidRDefault="00E86EB2" w:rsidP="006E6659">
      <w:pPr>
        <w:ind w:firstLine="603"/>
        <w:jc w:val="both"/>
      </w:pPr>
      <w:r w:rsidRPr="00611B30">
        <w:t xml:space="preserve">Siekiant Strateginio plano pirmojo tikslo – užtikrinti kokybišką ugdymo proceso organizavimą – Gimnazijos veikla buvo orientuojama į galimybių sudarymą kiekvienam mokiniui siekti asmeninės pažangos. Strateginiam tikslui pasiekti buvo vykdomi du Veiklos plano uždaviniai: </w:t>
      </w:r>
    </w:p>
    <w:p w:rsidR="00E86EB2" w:rsidRDefault="00E86EB2" w:rsidP="006E6659">
      <w:pPr>
        <w:ind w:firstLine="603"/>
        <w:jc w:val="both"/>
      </w:pPr>
      <w:r>
        <w:t>– į</w:t>
      </w:r>
      <w:r w:rsidRPr="00B13A19">
        <w:t xml:space="preserve">gyvendinant pirmąjį uždavinį – </w:t>
      </w:r>
      <w:r w:rsidRPr="008E28FF">
        <w:t>sudaryti palankias sąlygas kiekvieno mokinio, mokytojo aktyviam ugdymui(si) ir asmeninei pažangai bei saviraiškos poreikių tenkinimui</w:t>
      </w:r>
      <w:r>
        <w:t xml:space="preserve"> </w:t>
      </w:r>
      <w:r w:rsidRPr="00B13A19">
        <w:t xml:space="preserve">– </w:t>
      </w:r>
      <w:r>
        <w:t xml:space="preserve">buvo </w:t>
      </w:r>
      <w:r w:rsidRPr="008E28FF">
        <w:t>siūl</w:t>
      </w:r>
      <w:r>
        <w:t>omos</w:t>
      </w:r>
      <w:r w:rsidRPr="008E28FF">
        <w:t xml:space="preserve"> įvairi</w:t>
      </w:r>
      <w:r>
        <w:t>os</w:t>
      </w:r>
      <w:r w:rsidRPr="008E28FF">
        <w:t xml:space="preserve"> pasirenkamųjų mokomųjų dalykų (20) ir neformal</w:t>
      </w:r>
      <w:r>
        <w:t>iojo</w:t>
      </w:r>
      <w:r w:rsidRPr="008E28FF">
        <w:t xml:space="preserve"> vaikų švietimo program</w:t>
      </w:r>
      <w:r>
        <w:t>os</w:t>
      </w:r>
      <w:r w:rsidRPr="008E28FF">
        <w:t xml:space="preserve"> (14 neformaliojo vaikų švietimo būrelių lankė 277 mokiniai, t.</w:t>
      </w:r>
      <w:r>
        <w:t xml:space="preserve"> y. 42 proc. visų G</w:t>
      </w:r>
      <w:r w:rsidRPr="008E28FF">
        <w:t>imnazijoje besimokančiųjų).</w:t>
      </w:r>
      <w:r>
        <w:t xml:space="preserve"> 2021 metais G</w:t>
      </w:r>
      <w:r w:rsidRPr="009A6982">
        <w:t xml:space="preserve">imnazijos mokytojai daug dėmesio skyrė akademinių klasių mokinių </w:t>
      </w:r>
      <w:r w:rsidRPr="006621A5">
        <w:t xml:space="preserve">ugdymo proceso tobulinimui: mokiniai atliko </w:t>
      </w:r>
      <w:r>
        <w:t>kūrybinius-</w:t>
      </w:r>
      <w:r w:rsidRPr="006621A5">
        <w:t>tiriam</w:t>
      </w:r>
      <w:r>
        <w:t>uosius darbus ir juos pristatė G</w:t>
      </w:r>
      <w:r w:rsidRPr="006621A5">
        <w:t xml:space="preserve">imnazijos </w:t>
      </w:r>
      <w:r w:rsidRPr="00A36A13">
        <w:t>bendruomenei. Gimnazistai buvo mokomi tyrinėti gamtinę, socialinę, kultūrinę aplinką, nustatyti problemas, ieškoti sprendimų ir juos pagrįsti, gebėti pristatyti savo darbo rezultatus, nebijoti klausti, siūlyti, kurti, vertinti, planuoti.</w:t>
      </w:r>
    </w:p>
    <w:p w:rsidR="00E86EB2" w:rsidRPr="00711625" w:rsidRDefault="00E86EB2" w:rsidP="006E6659">
      <w:pPr>
        <w:ind w:firstLine="603"/>
        <w:jc w:val="both"/>
        <w:rPr>
          <w:rFonts w:eastAsia="Calibri"/>
        </w:rPr>
      </w:pPr>
      <w:r w:rsidRPr="006621A5">
        <w:rPr>
          <w:rFonts w:eastAsia="Calibri"/>
        </w:rPr>
        <w:t>Mokinių ugdymosi poreikių tenkinimui ir praradimų kompensavimui I pusmetį buvo suteikta 282 grupinės ir individualios konsultaci</w:t>
      </w:r>
      <w:r>
        <w:rPr>
          <w:rFonts w:eastAsia="Calibri"/>
        </w:rPr>
        <w:t xml:space="preserve">jos, II </w:t>
      </w:r>
      <w:r w:rsidRPr="006621A5">
        <w:rPr>
          <w:rFonts w:eastAsia="Calibri"/>
        </w:rPr>
        <w:t>pusmetį</w:t>
      </w:r>
      <w:r>
        <w:rPr>
          <w:rFonts w:eastAsia="Calibri"/>
        </w:rPr>
        <w:t xml:space="preserve"> – 658 konsultacijos.</w:t>
      </w:r>
    </w:p>
    <w:p w:rsidR="00E86EB2" w:rsidRDefault="00E86EB2" w:rsidP="006E6659">
      <w:pPr>
        <w:ind w:firstLine="603"/>
        <w:jc w:val="both"/>
        <w:rPr>
          <w:rFonts w:eastAsia="Calibri"/>
        </w:rPr>
      </w:pPr>
      <w:r>
        <w:rPr>
          <w:rFonts w:eastAsia="Calibri"/>
        </w:rPr>
        <w:t>M</w:t>
      </w:r>
      <w:r w:rsidRPr="004047B6">
        <w:rPr>
          <w:rFonts w:eastAsia="Calibri"/>
        </w:rPr>
        <w:t>okinių pažangos ir pasiekimų rezultatai:</w:t>
      </w:r>
      <w:r>
        <w:rPr>
          <w:rFonts w:eastAsia="Calibri"/>
        </w:rPr>
        <w:t xml:space="preserve"> 180 </w:t>
      </w:r>
      <w:r w:rsidRPr="004047B6">
        <w:rPr>
          <w:rFonts w:eastAsia="Calibri"/>
        </w:rPr>
        <w:t xml:space="preserve">(100 </w:t>
      </w:r>
      <w:r>
        <w:rPr>
          <w:rFonts w:eastAsia="Calibri"/>
        </w:rPr>
        <w:t>proc.</w:t>
      </w:r>
      <w:r w:rsidRPr="004047B6">
        <w:rPr>
          <w:rFonts w:eastAsia="Calibri"/>
        </w:rPr>
        <w:t>) mokin</w:t>
      </w:r>
      <w:r>
        <w:rPr>
          <w:rFonts w:eastAsia="Calibri"/>
        </w:rPr>
        <w:t>ių</w:t>
      </w:r>
      <w:r w:rsidRPr="004047B6">
        <w:rPr>
          <w:rFonts w:eastAsia="Calibri"/>
        </w:rPr>
        <w:t xml:space="preserve"> įgijo pagrindinį išsilavinimą, aukštesni nei šalyje ir mieste mokinių matematikos ir lietuvių kalbos pagrindinio ugdymo pasiekimų patikrinimų (toliau – PUPP) rezultatai</w:t>
      </w:r>
      <w:r>
        <w:rPr>
          <w:rFonts w:eastAsia="Calibri"/>
        </w:rPr>
        <w:t>. M</w:t>
      </w:r>
      <w:r w:rsidRPr="004047B6">
        <w:rPr>
          <w:rFonts w:eastAsia="Calibri"/>
        </w:rPr>
        <w:t xml:space="preserve">okinių įvertinimo balais PUPP vidurkis </w:t>
      </w:r>
      <w:r>
        <w:rPr>
          <w:rFonts w:eastAsia="Calibri"/>
        </w:rPr>
        <w:t>(</w:t>
      </w:r>
      <w:r w:rsidRPr="004047B6">
        <w:rPr>
          <w:rFonts w:eastAsia="Calibri"/>
        </w:rPr>
        <w:t>bendras – 7,</w:t>
      </w:r>
      <w:r>
        <w:rPr>
          <w:rFonts w:eastAsia="Calibri"/>
        </w:rPr>
        <w:t>04):</w:t>
      </w:r>
      <w:r w:rsidRPr="004047B6">
        <w:rPr>
          <w:rFonts w:eastAsia="Calibri"/>
        </w:rPr>
        <w:t xml:space="preserve"> lietuvių kalbos ir literatūros – </w:t>
      </w:r>
      <w:r>
        <w:rPr>
          <w:rFonts w:eastAsia="Calibri"/>
        </w:rPr>
        <w:t>6,96</w:t>
      </w:r>
      <w:r w:rsidRPr="004047B6">
        <w:rPr>
          <w:rFonts w:eastAsia="Calibri"/>
        </w:rPr>
        <w:t xml:space="preserve"> (miesto – 6,57, šalies – 6,5), matematikos – 7,</w:t>
      </w:r>
      <w:r>
        <w:rPr>
          <w:rFonts w:eastAsia="Calibri"/>
        </w:rPr>
        <w:t xml:space="preserve">11 </w:t>
      </w:r>
      <w:r w:rsidRPr="004047B6">
        <w:rPr>
          <w:rFonts w:eastAsia="Calibri"/>
        </w:rPr>
        <w:t>(miesto – 6,</w:t>
      </w:r>
      <w:r>
        <w:rPr>
          <w:rFonts w:eastAsia="Calibri"/>
        </w:rPr>
        <w:t>6</w:t>
      </w:r>
      <w:r w:rsidRPr="004047B6">
        <w:rPr>
          <w:rFonts w:eastAsia="Calibri"/>
        </w:rPr>
        <w:t>2, šalies – 6,</w:t>
      </w:r>
      <w:r>
        <w:rPr>
          <w:rFonts w:eastAsia="Calibri"/>
        </w:rPr>
        <w:t>1</w:t>
      </w:r>
      <w:r w:rsidRPr="004047B6">
        <w:rPr>
          <w:rFonts w:eastAsia="Calibri"/>
        </w:rPr>
        <w:t>2)</w:t>
      </w:r>
      <w:r>
        <w:rPr>
          <w:rFonts w:eastAsia="Calibri"/>
        </w:rPr>
        <w:t xml:space="preserve">. Gimnazijos </w:t>
      </w:r>
      <w:r w:rsidRPr="00F70B49">
        <w:rPr>
          <w:rFonts w:eastAsia="Calibri"/>
        </w:rPr>
        <w:t>124 abiturientai įgijo vidurinį išsilavinimą (10</w:t>
      </w:r>
      <w:r>
        <w:rPr>
          <w:rFonts w:eastAsia="Calibri"/>
        </w:rPr>
        <w:t>0 proc.</w:t>
      </w:r>
      <w:r w:rsidRPr="00F70B49">
        <w:rPr>
          <w:rFonts w:eastAsia="Calibri"/>
        </w:rPr>
        <w:t xml:space="preserve">), 6 mokiniai gavo 100 balų įvertinimus iš anglų ir rusų kalbų valstybinių brandos egzaminų. Bendras brandos egzaminų įvertinimų balais vidurkis buvo 52,1 (šalyje – 51,9). Mokymąsi toliau tęsia </w:t>
      </w:r>
      <w:r w:rsidRPr="000C1114">
        <w:rPr>
          <w:rFonts w:eastAsia="Calibri"/>
        </w:rPr>
        <w:t>81</w:t>
      </w:r>
      <w:r>
        <w:rPr>
          <w:rFonts w:eastAsia="Calibri"/>
        </w:rPr>
        <w:t xml:space="preserve"> proc.</w:t>
      </w:r>
      <w:r w:rsidRPr="000C1114">
        <w:rPr>
          <w:rFonts w:eastAsia="Calibri"/>
        </w:rPr>
        <w:t xml:space="preserve"> gimnazistų.</w:t>
      </w:r>
    </w:p>
    <w:p w:rsidR="00E86EB2" w:rsidRPr="006621A5" w:rsidRDefault="00E86EB2" w:rsidP="006E6659">
      <w:pPr>
        <w:ind w:firstLine="603"/>
        <w:jc w:val="both"/>
        <w:rPr>
          <w:rFonts w:eastAsia="Calibri"/>
        </w:rPr>
      </w:pPr>
      <w:r w:rsidRPr="006621A5">
        <w:rPr>
          <w:rFonts w:eastAsia="Calibri"/>
        </w:rPr>
        <w:t>Gamtos mokslų, užsienio kalbų, gimtosios lietuvių kalbos, socialinių mokslų, išskyrus menų ir fizinio ugdymo dalykų konkursuose ir olimpiadose akademinių klasių mokiniai yra prizinių vietų laimėtojai. Respublikiniuose ir miesto olimpiadose, konkursuose laimėtojais tapo 55 mokiniai.</w:t>
      </w:r>
    </w:p>
    <w:p w:rsidR="00E86EB2" w:rsidRDefault="00E86EB2" w:rsidP="006E6659">
      <w:pPr>
        <w:ind w:firstLine="603"/>
        <w:jc w:val="both"/>
        <w:rPr>
          <w:rFonts w:eastAsia="Calibri"/>
        </w:rPr>
      </w:pPr>
      <w:r w:rsidRPr="006621A5">
        <w:rPr>
          <w:rFonts w:eastAsia="Calibri"/>
        </w:rPr>
        <w:t>Gimnazijoje mokosi 56 aukšto meistriškumo jaunieji sportininkai, atstovaujantys 10 sporto šakų ir 12 Klaipėdos miesto sporto organizacijų. Jaunieji sportininkai sėkmingai dalyvauja miesto, šalies bei tarptautinėse varžybose.</w:t>
      </w:r>
      <w:r>
        <w:rPr>
          <w:rFonts w:eastAsia="Calibri"/>
        </w:rPr>
        <w:t xml:space="preserve"> Svariausias 2021 m. sportinis laimėjimas - III klasės mokinio, </w:t>
      </w:r>
      <w:r w:rsidRPr="00A5437B">
        <w:rPr>
          <w:rFonts w:eastAsia="Calibri"/>
        </w:rPr>
        <w:t>kuris</w:t>
      </w:r>
      <w:r>
        <w:rPr>
          <w:rFonts w:eastAsia="Calibri"/>
          <w:color w:val="FF0000"/>
        </w:rPr>
        <w:t xml:space="preserve"> </w:t>
      </w:r>
      <w:r>
        <w:rPr>
          <w:rFonts w:eastAsia="Calibri"/>
        </w:rPr>
        <w:t xml:space="preserve">tapo Vimbldono teniso turnyro jaunių dvejetų taurės laimėtoju. </w:t>
      </w:r>
      <w:r w:rsidRPr="006621A5">
        <w:rPr>
          <w:rFonts w:eastAsia="Calibri"/>
        </w:rPr>
        <w:t xml:space="preserve">Sporto klasių mokinių ugdymui buvo sudarytos palankios sąlygos, teikiama visapusiška pagalba kiekvienam mokiniui. Gimnazijos bendruomenė susitarusi dėl pagrindinių ugdymo krypčių, ugdomų vertybinių nuostatų. </w:t>
      </w:r>
      <w:r w:rsidRPr="006621A5">
        <w:rPr>
          <w:rFonts w:eastAsia="Calibri"/>
        </w:rPr>
        <w:lastRenderedPageBreak/>
        <w:t xml:space="preserve">Gimnazijos sporto klasių ugdymo planas tenkina mokinių ugdymo(si) poreikius: Gimnazija perskirstė iki 25 </w:t>
      </w:r>
      <w:r w:rsidRPr="00A5437B">
        <w:rPr>
          <w:rFonts w:eastAsia="Calibri"/>
        </w:rPr>
        <w:t xml:space="preserve">proc. </w:t>
      </w:r>
      <w:r w:rsidRPr="006621A5">
        <w:rPr>
          <w:rFonts w:eastAsia="Calibri"/>
        </w:rPr>
        <w:t xml:space="preserve">Bendruosiuose ugdymo planuose skiriamo bendro pamokų skaičiaus ir dalykų turinio, neformaliojo vaikų švietimo valandų skaičių padidino 2 valandomis klasei. </w:t>
      </w:r>
    </w:p>
    <w:p w:rsidR="00E86EB2" w:rsidRPr="00A36A13" w:rsidRDefault="00E86EB2" w:rsidP="006E6659">
      <w:pPr>
        <w:pStyle w:val="Sraopastraipa"/>
        <w:ind w:left="30" w:firstLine="567"/>
        <w:jc w:val="both"/>
        <w:rPr>
          <w:szCs w:val="24"/>
        </w:rPr>
      </w:pPr>
      <w:r w:rsidRPr="000C1114">
        <w:rPr>
          <w:szCs w:val="24"/>
        </w:rPr>
        <w:t xml:space="preserve">Siekiant tobulinti mokytojų asmeninius ir socialinius gebėjimus, mokytojams buvo organizuojami kvalifikacijos </w:t>
      </w:r>
      <w:r w:rsidRPr="00A36A13">
        <w:rPr>
          <w:szCs w:val="24"/>
        </w:rPr>
        <w:t>tobulinimo kursai. 2021 m. kvalifikaciją kiekvienas pedagogas tobulino vidutiniškai 7 dienas.</w:t>
      </w:r>
      <w:r w:rsidRPr="00A36A13">
        <w:t xml:space="preserve"> </w:t>
      </w:r>
      <w:r w:rsidRPr="00A36A13">
        <w:rPr>
          <w:szCs w:val="24"/>
        </w:rPr>
        <w:t>Mokytojai aktyviai dalyvavo projektuose, konferencijose, dalinosi gerąja patirtimi su miesto, respublikos bei užsienio mokytojais, vedė atviras pamokas, organizavo  seminarus ir konferencijas, kuriose skaitė pranešimus, organizavo 8 metodines savaites, vyko su mokiniais į edukacines ekskursijas, rengė įvairias parodas, profesinio švietimo renginius.</w:t>
      </w:r>
    </w:p>
    <w:p w:rsidR="00E86EB2" w:rsidRPr="00A36A13" w:rsidRDefault="00E86EB2" w:rsidP="008B5B3A">
      <w:pPr>
        <w:pStyle w:val="Sraopastraipa"/>
        <w:numPr>
          <w:ilvl w:val="0"/>
          <w:numId w:val="1"/>
        </w:numPr>
        <w:tabs>
          <w:tab w:val="left" w:pos="993"/>
        </w:tabs>
        <w:ind w:left="0" w:firstLine="597"/>
        <w:jc w:val="both"/>
        <w:rPr>
          <w:szCs w:val="24"/>
        </w:rPr>
      </w:pPr>
      <w:r w:rsidRPr="00A36A13">
        <w:rPr>
          <w:szCs w:val="24"/>
        </w:rPr>
        <w:t>įgyvendinant antrąjį uždavinį – sudaryti palankias sąlygas bendruomeniškumui</w:t>
      </w:r>
      <w:r w:rsidRPr="000C1114">
        <w:rPr>
          <w:szCs w:val="24"/>
        </w:rPr>
        <w:t xml:space="preserve"> ir pozityvios emocinės aplinkos kūrimui – buvo organizuojamos kryptingos sveikos gyvensenos stiprinimo ir prevencines veiklos: pasirinkta nuosekli ir ilgalaikė socialines ir emocines kompetencijas ugdanti prevencinė programa „Tiltai“. Gimnazija prevencinės programos įgyvendinimą integruoja į etikos, tikybos, istorijos, pilietiškumo ir lietuvių kalbos ugdymo turinį bei neformaliojo vaikų švietimo veiklas. 202</w:t>
      </w:r>
      <w:r>
        <w:rPr>
          <w:szCs w:val="24"/>
        </w:rPr>
        <w:t>1 m. kovo mėnesį buvo atlikta I–</w:t>
      </w:r>
      <w:r w:rsidRPr="000C1114">
        <w:rPr>
          <w:szCs w:val="24"/>
        </w:rPr>
        <w:t>IV klasių mokinių apklausa „Dėl mokinių savijautos ir pagalbos poreikio nuotolinio mokymosi metu“. Tyrime dalyvavo 233 I-IV klasių gimnazistai. Kaip rodo apklausos rezultatai, karantino metu 97</w:t>
      </w:r>
      <w:r>
        <w:rPr>
          <w:szCs w:val="24"/>
        </w:rPr>
        <w:t xml:space="preserve"> proc. </w:t>
      </w:r>
      <w:r w:rsidRPr="000C1114">
        <w:rPr>
          <w:szCs w:val="24"/>
        </w:rPr>
        <w:t>dalyvavusių apklausoje mokinių pažymėjo, kad nuotolinio mokymosi metu klasėje nekilo konfliktinių situacijų, 9</w:t>
      </w:r>
      <w:r>
        <w:rPr>
          <w:szCs w:val="24"/>
        </w:rPr>
        <w:t>6 proc.</w:t>
      </w:r>
      <w:r w:rsidRPr="000C1114">
        <w:rPr>
          <w:szCs w:val="24"/>
        </w:rPr>
        <w:t xml:space="preserve"> apklaustųjų patvirtino, kad jiems neteko patirti elektroninių patyčių, tačiau 23</w:t>
      </w:r>
      <w:r>
        <w:rPr>
          <w:szCs w:val="24"/>
        </w:rPr>
        <w:t xml:space="preserve"> proc.</w:t>
      </w:r>
      <w:r w:rsidRPr="000C1114">
        <w:rPr>
          <w:szCs w:val="24"/>
        </w:rPr>
        <w:t xml:space="preserve"> apklaustų mokinių prastėjo emocinė būklė ir jautė įtampą. Siekiant sumažinti nuotolinio mokymo pasekmes jaunimo fizinei bei psichikos sveikatai, </w:t>
      </w:r>
      <w:r>
        <w:rPr>
          <w:szCs w:val="24"/>
        </w:rPr>
        <w:t>G</w:t>
      </w:r>
      <w:r w:rsidRPr="000C1114">
        <w:rPr>
          <w:szCs w:val="24"/>
        </w:rPr>
        <w:t>imnazijoje įgyvendin</w:t>
      </w:r>
      <w:r>
        <w:rPr>
          <w:szCs w:val="24"/>
        </w:rPr>
        <w:t>ama Geros savijautos programa I–</w:t>
      </w:r>
      <w:r w:rsidRPr="000C1114">
        <w:rPr>
          <w:szCs w:val="24"/>
        </w:rPr>
        <w:t>IV klasių mokiniams. Ja siekiama gerinti mokinių emocinę būklę ir sukurti kuo palankesnes sąlygas patirti mokymosi</w:t>
      </w:r>
      <w:r>
        <w:rPr>
          <w:szCs w:val="24"/>
        </w:rPr>
        <w:t xml:space="preserve"> sėkmę jau sugrįžus į klases. I–</w:t>
      </w:r>
      <w:r w:rsidRPr="000C1114">
        <w:rPr>
          <w:szCs w:val="24"/>
        </w:rPr>
        <w:t>II klasėse organizuoti socialinių emocinių įgūdžių ugdymo užsiėmimai: „Mano super galia!”, „Stiprūs, drąsūs, ramūs” dalyvavo 311 gimnazistų.</w:t>
      </w:r>
      <w:r>
        <w:t xml:space="preserve"> </w:t>
      </w:r>
      <w:r w:rsidRPr="000C1114">
        <w:rPr>
          <w:szCs w:val="24"/>
        </w:rPr>
        <w:t>2021 m. lapkričio mėnes</w:t>
      </w:r>
      <w:r>
        <w:rPr>
          <w:szCs w:val="24"/>
        </w:rPr>
        <w:t>į</w:t>
      </w:r>
      <w:r w:rsidRPr="000C1114">
        <w:rPr>
          <w:szCs w:val="24"/>
        </w:rPr>
        <w:t xml:space="preserve"> buvo atliktas I klasių mokinių adaptacijos tyrimas. 83</w:t>
      </w:r>
      <w:r>
        <w:rPr>
          <w:szCs w:val="24"/>
        </w:rPr>
        <w:t xml:space="preserve"> proc.</w:t>
      </w:r>
      <w:r w:rsidRPr="000C1114">
        <w:rPr>
          <w:szCs w:val="24"/>
        </w:rPr>
        <w:t xml:space="preserve"> mokinių pavyko susirasti draugų </w:t>
      </w:r>
      <w:r>
        <w:rPr>
          <w:szCs w:val="24"/>
        </w:rPr>
        <w:t>G</w:t>
      </w:r>
      <w:r w:rsidRPr="000C1114">
        <w:rPr>
          <w:szCs w:val="24"/>
        </w:rPr>
        <w:t>imnazijoje</w:t>
      </w:r>
      <w:r>
        <w:rPr>
          <w:szCs w:val="24"/>
        </w:rPr>
        <w:t>,</w:t>
      </w:r>
      <w:r w:rsidRPr="000C1114">
        <w:rPr>
          <w:szCs w:val="24"/>
        </w:rPr>
        <w:t xml:space="preserve"> 91 </w:t>
      </w:r>
      <w:r>
        <w:rPr>
          <w:szCs w:val="24"/>
        </w:rPr>
        <w:t xml:space="preserve">proc. </w:t>
      </w:r>
      <w:r w:rsidRPr="000C1114">
        <w:rPr>
          <w:szCs w:val="24"/>
        </w:rPr>
        <w:t>mokinių teigia, kad klasė yra aktyvi ir kupina energijos, vyrauja optimistinė nuotaika (90</w:t>
      </w:r>
      <w:r>
        <w:rPr>
          <w:szCs w:val="24"/>
        </w:rPr>
        <w:t xml:space="preserve"> proc.</w:t>
      </w:r>
      <w:r w:rsidRPr="000C1114">
        <w:rPr>
          <w:szCs w:val="24"/>
        </w:rPr>
        <w:t>), santykiai yra draugiški ir teisingi (94</w:t>
      </w:r>
      <w:r>
        <w:rPr>
          <w:szCs w:val="24"/>
        </w:rPr>
        <w:t xml:space="preserve"> proc.</w:t>
      </w:r>
      <w:r w:rsidRPr="000C1114">
        <w:rPr>
          <w:szCs w:val="24"/>
        </w:rPr>
        <w:t>), bendraklasiams patinka laiką leisti kartu (84</w:t>
      </w:r>
      <w:r>
        <w:rPr>
          <w:szCs w:val="24"/>
        </w:rPr>
        <w:t xml:space="preserve"> proc.</w:t>
      </w:r>
      <w:r w:rsidRPr="000C1114">
        <w:rPr>
          <w:szCs w:val="24"/>
        </w:rPr>
        <w:t>), iškilus problemoms bendraklasiai susivienija ir palaiko vienas kitą (82</w:t>
      </w:r>
      <w:r>
        <w:rPr>
          <w:szCs w:val="24"/>
        </w:rPr>
        <w:t xml:space="preserve"> proc.</w:t>
      </w:r>
      <w:r w:rsidRPr="000C1114">
        <w:rPr>
          <w:szCs w:val="24"/>
        </w:rPr>
        <w:t>), nekonfliktuoja vieni su kitais (84</w:t>
      </w:r>
      <w:r>
        <w:rPr>
          <w:szCs w:val="24"/>
        </w:rPr>
        <w:t xml:space="preserve"> proc.</w:t>
      </w:r>
      <w:r w:rsidRPr="000C1114">
        <w:rPr>
          <w:szCs w:val="24"/>
        </w:rPr>
        <w:t>), klasėje gerbiama kiekvieno nario nuomonė (82</w:t>
      </w:r>
      <w:r>
        <w:rPr>
          <w:szCs w:val="24"/>
        </w:rPr>
        <w:t xml:space="preserve"> proc.</w:t>
      </w:r>
      <w:r w:rsidRPr="000C1114">
        <w:rPr>
          <w:szCs w:val="24"/>
        </w:rPr>
        <w:t>), iš klasės draugų niekas nesityčioja (89</w:t>
      </w:r>
      <w:r>
        <w:rPr>
          <w:szCs w:val="24"/>
        </w:rPr>
        <w:t xml:space="preserve"> proc.</w:t>
      </w:r>
      <w:r w:rsidRPr="000C1114">
        <w:rPr>
          <w:szCs w:val="24"/>
        </w:rPr>
        <w:t>), klasėje nesijaučia didelės konkurencijos (83</w:t>
      </w:r>
      <w:r>
        <w:rPr>
          <w:szCs w:val="24"/>
        </w:rPr>
        <w:t xml:space="preserve"> proc.</w:t>
      </w:r>
      <w:r w:rsidRPr="000C1114">
        <w:rPr>
          <w:szCs w:val="24"/>
        </w:rPr>
        <w:t>) ir gerbiama kiekvieno nuomonė (82</w:t>
      </w:r>
      <w:r>
        <w:rPr>
          <w:szCs w:val="24"/>
        </w:rPr>
        <w:t xml:space="preserve"> proc.</w:t>
      </w:r>
      <w:r w:rsidRPr="000C1114">
        <w:rPr>
          <w:szCs w:val="24"/>
        </w:rPr>
        <w:t>), sprendžia iškilusias problemas su visa klase (85</w:t>
      </w:r>
      <w:r>
        <w:rPr>
          <w:szCs w:val="24"/>
        </w:rPr>
        <w:t xml:space="preserve"> proc.</w:t>
      </w:r>
      <w:r w:rsidRPr="000C1114">
        <w:rPr>
          <w:szCs w:val="24"/>
        </w:rPr>
        <w:t>). 77</w:t>
      </w:r>
      <w:r>
        <w:rPr>
          <w:szCs w:val="24"/>
        </w:rPr>
        <w:t xml:space="preserve"> proc.</w:t>
      </w:r>
      <w:r w:rsidRPr="000C1114">
        <w:rPr>
          <w:szCs w:val="24"/>
        </w:rPr>
        <w:t xml:space="preserve"> mokinių teigia, kad jeigu turėtų galimybę šiandien rinktis mokyklą, rinktųsi </w:t>
      </w:r>
      <w:r>
        <w:rPr>
          <w:szCs w:val="24"/>
        </w:rPr>
        <w:t xml:space="preserve">savo Gimnaziją, </w:t>
      </w:r>
      <w:r w:rsidRPr="000C1114">
        <w:rPr>
          <w:szCs w:val="24"/>
        </w:rPr>
        <w:t xml:space="preserve">tai rodo teigiamą bendrą </w:t>
      </w:r>
      <w:r>
        <w:rPr>
          <w:szCs w:val="24"/>
        </w:rPr>
        <w:t>G</w:t>
      </w:r>
      <w:r w:rsidRPr="000C1114">
        <w:rPr>
          <w:szCs w:val="24"/>
        </w:rPr>
        <w:t>imnazijos veiklos vertinimą</w:t>
      </w:r>
      <w:r w:rsidRPr="00A36A13">
        <w:rPr>
          <w:szCs w:val="24"/>
        </w:rPr>
        <w:t xml:space="preserve">. </w:t>
      </w:r>
      <w:r w:rsidRPr="00A36A13">
        <w:t xml:space="preserve">Gimnazijos mokytojai ir mokiniai aktyviai dalyvavo projektinėje veikloje ir tobulino kūrybiškumo, socialines–emocines ir bendradarbiavimo kompetencijas 6 tarptautiniuose, 4 šalies, 7 miesto ir 3 </w:t>
      </w:r>
      <w:r>
        <w:t>G</w:t>
      </w:r>
      <w:r w:rsidRPr="00A36A13">
        <w:t>imnazijos projektuose.</w:t>
      </w:r>
    </w:p>
    <w:p w:rsidR="00E86EB2" w:rsidRDefault="00E86EB2" w:rsidP="006E6659">
      <w:pPr>
        <w:ind w:firstLine="603"/>
        <w:jc w:val="both"/>
      </w:pPr>
      <w:r w:rsidRPr="00A36A13">
        <w:t>Siekiant Strateginio plano antrojo tikslo –  užtikrinti sveiką, saugią ir šiuolaikinius ugdymo(si</w:t>
      </w:r>
      <w:r w:rsidRPr="00476D10">
        <w:t>) reikalavimus atitinkančią aplinką – Gimnazijos veikla buvo orientuojama į Higienos paso</w:t>
      </w:r>
      <w:r>
        <w:t>-leidimo</w:t>
      </w:r>
      <w:r w:rsidRPr="00476D10">
        <w:t xml:space="preserve"> gavimą: edukacinių aplinkų kūrimą, patalpų būklės gerinimą, šiuolaikinių ugdymo(si) priemonių įsigijimą, Tikslui pasiekti buvo vykdomi Strateginio plano uždaviniai – diegti interaktyvias technologijas, skatinančias ugdymo indiv</w:t>
      </w:r>
      <w:r w:rsidRPr="00D8766D">
        <w:t>idualizavimą ir mokinių mokymosi motyvaciją</w:t>
      </w:r>
      <w:r>
        <w:t>; p</w:t>
      </w:r>
      <w:r w:rsidRPr="00B57307">
        <w:t xml:space="preserve">ritaikyti </w:t>
      </w:r>
      <w:r>
        <w:t xml:space="preserve">Gimnazijos </w:t>
      </w:r>
      <w:r w:rsidRPr="00B57307">
        <w:t>aplinkas švietimo reikmėms</w:t>
      </w:r>
      <w:r>
        <w:t xml:space="preserve"> </w:t>
      </w:r>
      <w:r w:rsidRPr="00AC2C3D">
        <w:t xml:space="preserve">– pagal kuriuos buvo atnaujinti Gimnazijos bibliotekos fondai ir mokymo priemonės už 11,4 tūkst. Eur, įsigyta 837 vnt. vadovėlių už 9,4 tūkst. Eur ir gauta dovanų 900 vnt. grožinės </w:t>
      </w:r>
      <w:r w:rsidRPr="002333E8">
        <w:t>literatūros knygų</w:t>
      </w:r>
      <w:r w:rsidRPr="007A5DD4">
        <w:t>. Atnaujinant mokymo priemones, 2021 m. už 26,3 tūkst. Eur buvo įsigyta</w:t>
      </w:r>
      <w:r>
        <w:t>:</w:t>
      </w:r>
      <w:r w:rsidRPr="007A5DD4">
        <w:t xml:space="preserve"> 34 kompiuteriai, 3 TV ekranai, 2 dokumentų kameros, 6 spausdintuvai, projektorius ir kt. Už 24,9 tūkst. Eur atlikti patalpų kasmetiniai remonto darbai.</w:t>
      </w:r>
    </w:p>
    <w:p w:rsidR="00E86EB2" w:rsidRDefault="00E86EB2" w:rsidP="00E86EB2">
      <w:pPr>
        <w:ind w:firstLine="603"/>
        <w:jc w:val="both"/>
      </w:pPr>
      <w:r>
        <w:t>2021 m. Gimnazijos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3168"/>
      </w:tblGrid>
      <w:tr w:rsidR="00E86EB2" w:rsidRPr="007F425A" w:rsidTr="00E86EB2">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E86EB2" w:rsidRPr="007F425A" w:rsidRDefault="00E86EB2" w:rsidP="006E6659">
            <w:pPr>
              <w:jc w:val="center"/>
            </w:pPr>
            <w:r w:rsidRPr="007F425A">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E86EB2" w:rsidRPr="007F425A" w:rsidRDefault="00E86EB2" w:rsidP="006E6659">
            <w:pPr>
              <w:jc w:val="center"/>
            </w:pPr>
            <w:r>
              <w:t>Lėšos (tūkst. Eur</w:t>
            </w:r>
            <w:r w:rsidRPr="007F425A">
              <w:t>)</w:t>
            </w:r>
          </w:p>
        </w:tc>
        <w:tc>
          <w:tcPr>
            <w:tcW w:w="3168" w:type="dxa"/>
            <w:vMerge w:val="restart"/>
            <w:tcBorders>
              <w:top w:val="single" w:sz="4" w:space="0" w:color="auto"/>
              <w:left w:val="single" w:sz="4" w:space="0" w:color="auto"/>
              <w:right w:val="single" w:sz="4" w:space="0" w:color="auto"/>
            </w:tcBorders>
          </w:tcPr>
          <w:p w:rsidR="00E86EB2" w:rsidRPr="007F425A" w:rsidRDefault="00E86EB2" w:rsidP="006E6659">
            <w:pPr>
              <w:jc w:val="center"/>
            </w:pPr>
            <w:r w:rsidRPr="007F425A">
              <w:t>Pastabos</w:t>
            </w:r>
          </w:p>
          <w:p w:rsidR="00E86EB2" w:rsidRPr="007F425A" w:rsidRDefault="00E86EB2" w:rsidP="006E6659">
            <w:pPr>
              <w:jc w:val="center"/>
            </w:pPr>
          </w:p>
        </w:tc>
      </w:tr>
      <w:tr w:rsidR="00E86EB2" w:rsidRPr="007F425A" w:rsidTr="00E86EB2">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E86EB2" w:rsidRPr="007F425A" w:rsidRDefault="00E86EB2" w:rsidP="006E6659">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pPr>
              <w:jc w:val="center"/>
            </w:pPr>
            <w:r w:rsidRPr="007F425A">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pPr>
              <w:jc w:val="center"/>
            </w:pPr>
            <w:r w:rsidRPr="007F425A">
              <w:t>Įvykdymas (%)</w:t>
            </w:r>
          </w:p>
        </w:tc>
        <w:tc>
          <w:tcPr>
            <w:tcW w:w="3168" w:type="dxa"/>
            <w:vMerge/>
            <w:tcBorders>
              <w:left w:val="single" w:sz="4" w:space="0" w:color="auto"/>
              <w:bottom w:val="single" w:sz="4" w:space="0" w:color="auto"/>
              <w:right w:val="single" w:sz="4" w:space="0" w:color="auto"/>
            </w:tcBorders>
          </w:tcPr>
          <w:p w:rsidR="00E86EB2" w:rsidRPr="007F425A" w:rsidRDefault="00E86EB2" w:rsidP="006E6659"/>
        </w:tc>
      </w:tr>
      <w:tr w:rsidR="00E86EB2" w:rsidRPr="007F425A" w:rsidTr="00E86EB2">
        <w:trPr>
          <w:trHeight w:val="415"/>
        </w:trPr>
        <w:tc>
          <w:tcPr>
            <w:tcW w:w="2333"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r w:rsidRPr="007F425A">
              <w:t xml:space="preserve">Savivaldybės </w:t>
            </w:r>
            <w:r w:rsidRPr="007F425A">
              <w:lastRenderedPageBreak/>
              <w:t>biudžetas (SB)</w:t>
            </w:r>
          </w:p>
        </w:tc>
        <w:tc>
          <w:tcPr>
            <w:tcW w:w="1494" w:type="dxa"/>
            <w:tcBorders>
              <w:top w:val="single" w:sz="4" w:space="0" w:color="auto"/>
              <w:left w:val="single" w:sz="4" w:space="0" w:color="auto"/>
              <w:bottom w:val="single" w:sz="4" w:space="0" w:color="auto"/>
              <w:right w:val="single" w:sz="4" w:space="0" w:color="auto"/>
            </w:tcBorders>
          </w:tcPr>
          <w:p w:rsidR="00E86EB2" w:rsidRPr="007F425A" w:rsidRDefault="00E86EB2" w:rsidP="006E6659">
            <w:pPr>
              <w:jc w:val="center"/>
            </w:pPr>
            <w:r w:rsidRPr="005F3593">
              <w:lastRenderedPageBreak/>
              <w:t>376,9</w:t>
            </w:r>
          </w:p>
        </w:tc>
        <w:tc>
          <w:tcPr>
            <w:tcW w:w="1438" w:type="dxa"/>
            <w:tcBorders>
              <w:top w:val="single" w:sz="4" w:space="0" w:color="auto"/>
              <w:left w:val="single" w:sz="4" w:space="0" w:color="auto"/>
              <w:bottom w:val="single" w:sz="4" w:space="0" w:color="auto"/>
              <w:right w:val="single" w:sz="4" w:space="0" w:color="auto"/>
            </w:tcBorders>
          </w:tcPr>
          <w:p w:rsidR="00E86EB2" w:rsidRPr="007F425A" w:rsidRDefault="00E86EB2" w:rsidP="006E6659">
            <w:pPr>
              <w:jc w:val="center"/>
            </w:pPr>
            <w:r w:rsidRPr="005F3593">
              <w:t>367,401</w:t>
            </w:r>
          </w:p>
        </w:tc>
        <w:tc>
          <w:tcPr>
            <w:tcW w:w="1283" w:type="dxa"/>
            <w:tcBorders>
              <w:top w:val="single" w:sz="4" w:space="0" w:color="auto"/>
              <w:left w:val="single" w:sz="4" w:space="0" w:color="auto"/>
              <w:bottom w:val="single" w:sz="4" w:space="0" w:color="auto"/>
              <w:right w:val="single" w:sz="4" w:space="0" w:color="auto"/>
            </w:tcBorders>
          </w:tcPr>
          <w:p w:rsidR="00E86EB2" w:rsidRPr="007F425A" w:rsidRDefault="00E86EB2" w:rsidP="006E6659">
            <w:pPr>
              <w:jc w:val="center"/>
            </w:pPr>
            <w:r w:rsidRPr="005F3593">
              <w:rPr>
                <w:color w:val="000000"/>
              </w:rPr>
              <w:t>97,48</w:t>
            </w:r>
          </w:p>
        </w:tc>
        <w:tc>
          <w:tcPr>
            <w:tcW w:w="3168" w:type="dxa"/>
            <w:tcBorders>
              <w:top w:val="single" w:sz="4" w:space="0" w:color="auto"/>
              <w:left w:val="single" w:sz="4" w:space="0" w:color="auto"/>
              <w:bottom w:val="single" w:sz="4" w:space="0" w:color="auto"/>
              <w:right w:val="single" w:sz="4" w:space="0" w:color="auto"/>
            </w:tcBorders>
          </w:tcPr>
          <w:p w:rsidR="00E86EB2" w:rsidRPr="007F425A" w:rsidRDefault="00E86EB2" w:rsidP="006E6659">
            <w:pPr>
              <w:jc w:val="both"/>
            </w:pPr>
            <w:r w:rsidRPr="00B10CF3">
              <w:rPr>
                <w:color w:val="222222"/>
              </w:rPr>
              <w:t>Liko nepanaudotos lėšos</w:t>
            </w:r>
            <w:r>
              <w:rPr>
                <w:color w:val="222222"/>
              </w:rPr>
              <w:t xml:space="preserve">, </w:t>
            </w:r>
            <w:r w:rsidRPr="00B10CF3">
              <w:rPr>
                <w:color w:val="222222"/>
              </w:rPr>
              <w:t xml:space="preserve"> </w:t>
            </w:r>
            <w:r w:rsidRPr="00B10CF3">
              <w:rPr>
                <w:color w:val="222222"/>
              </w:rPr>
              <w:lastRenderedPageBreak/>
              <w:t>skirtos</w:t>
            </w:r>
            <w:r>
              <w:rPr>
                <w:color w:val="222222"/>
              </w:rPr>
              <w:t xml:space="preserve"> sporto klasių</w:t>
            </w:r>
            <w:r w:rsidRPr="00B10CF3">
              <w:rPr>
                <w:color w:val="222222"/>
              </w:rPr>
              <w:t xml:space="preserve"> mokinių pavėžėjimui</w:t>
            </w:r>
            <w:r>
              <w:rPr>
                <w:color w:val="222222"/>
              </w:rPr>
              <w:t xml:space="preserve">, </w:t>
            </w:r>
            <w:r w:rsidRPr="00B10CF3">
              <w:rPr>
                <w:color w:val="222222"/>
              </w:rPr>
              <w:t>ir  nemokamo maitinimo išlaidų kompensavimui dėl karantino, lig</w:t>
            </w:r>
            <w:r>
              <w:rPr>
                <w:color w:val="222222"/>
              </w:rPr>
              <w:t xml:space="preserve">ų </w:t>
            </w:r>
          </w:p>
        </w:tc>
      </w:tr>
      <w:tr w:rsidR="00E86EB2" w:rsidRPr="007F425A" w:rsidTr="00E86EB2">
        <w:tc>
          <w:tcPr>
            <w:tcW w:w="2333"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r w:rsidRPr="007F425A">
              <w:lastRenderedPageBreak/>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E86EB2" w:rsidRPr="007F425A" w:rsidRDefault="00E86EB2" w:rsidP="006E6659">
            <w:pPr>
              <w:jc w:val="center"/>
            </w:pPr>
            <w:r w:rsidRPr="005F3593">
              <w:t>1270,067</w:t>
            </w:r>
          </w:p>
        </w:tc>
        <w:tc>
          <w:tcPr>
            <w:tcW w:w="1438" w:type="dxa"/>
            <w:tcBorders>
              <w:top w:val="single" w:sz="4" w:space="0" w:color="auto"/>
              <w:left w:val="single" w:sz="4" w:space="0" w:color="auto"/>
              <w:bottom w:val="single" w:sz="4" w:space="0" w:color="auto"/>
              <w:right w:val="single" w:sz="4" w:space="0" w:color="auto"/>
            </w:tcBorders>
          </w:tcPr>
          <w:p w:rsidR="00E86EB2" w:rsidRPr="007F425A" w:rsidRDefault="00E86EB2" w:rsidP="006E6659">
            <w:pPr>
              <w:jc w:val="center"/>
            </w:pPr>
            <w:r w:rsidRPr="005F3593">
              <w:t>1269,225</w:t>
            </w:r>
          </w:p>
        </w:tc>
        <w:tc>
          <w:tcPr>
            <w:tcW w:w="1283" w:type="dxa"/>
            <w:tcBorders>
              <w:top w:val="single" w:sz="4" w:space="0" w:color="auto"/>
              <w:left w:val="single" w:sz="4" w:space="0" w:color="auto"/>
              <w:bottom w:val="single" w:sz="4" w:space="0" w:color="auto"/>
              <w:right w:val="single" w:sz="4" w:space="0" w:color="auto"/>
            </w:tcBorders>
          </w:tcPr>
          <w:p w:rsidR="00E86EB2" w:rsidRPr="007F425A" w:rsidRDefault="00E86EB2" w:rsidP="006E6659">
            <w:pPr>
              <w:jc w:val="center"/>
            </w:pPr>
            <w:r w:rsidRPr="005F3593">
              <w:rPr>
                <w:color w:val="000000"/>
              </w:rPr>
              <w:t>99,93</w:t>
            </w:r>
          </w:p>
        </w:tc>
        <w:tc>
          <w:tcPr>
            <w:tcW w:w="3168" w:type="dxa"/>
            <w:tcBorders>
              <w:top w:val="single" w:sz="4" w:space="0" w:color="auto"/>
              <w:left w:val="single" w:sz="4" w:space="0" w:color="auto"/>
              <w:bottom w:val="single" w:sz="4" w:space="0" w:color="auto"/>
              <w:right w:val="single" w:sz="4" w:space="0" w:color="auto"/>
            </w:tcBorders>
          </w:tcPr>
          <w:p w:rsidR="00E86EB2" w:rsidRPr="002D0B97" w:rsidRDefault="00E86EB2" w:rsidP="006E6659">
            <w:pPr>
              <w:jc w:val="both"/>
              <w:rPr>
                <w:color w:val="222222"/>
              </w:rPr>
            </w:pPr>
            <w:r w:rsidRPr="002D0B97">
              <w:t>Liko nepanaudota dalis lėšų, skirtų nemokamo maitinimo išlaidų kompensavimui, dėl nuotolinio mokymo pandemijos metu, mokinių ligų</w:t>
            </w:r>
          </w:p>
        </w:tc>
      </w:tr>
      <w:tr w:rsidR="00E86EB2" w:rsidRPr="007F425A" w:rsidTr="00E86EB2">
        <w:tc>
          <w:tcPr>
            <w:tcW w:w="2333"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t>133,6</w:t>
            </w:r>
          </w:p>
        </w:tc>
        <w:tc>
          <w:tcPr>
            <w:tcW w:w="1438"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t>39,729</w:t>
            </w:r>
          </w:p>
        </w:tc>
        <w:tc>
          <w:tcPr>
            <w:tcW w:w="1283"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rPr>
                <w:color w:val="000000"/>
              </w:rPr>
              <w:t>29,74</w:t>
            </w:r>
          </w:p>
        </w:tc>
        <w:tc>
          <w:tcPr>
            <w:tcW w:w="3168" w:type="dxa"/>
            <w:tcBorders>
              <w:top w:val="single" w:sz="4" w:space="0" w:color="auto"/>
              <w:left w:val="single" w:sz="4" w:space="0" w:color="auto"/>
              <w:bottom w:val="single" w:sz="4" w:space="0" w:color="auto"/>
              <w:right w:val="single" w:sz="4" w:space="0" w:color="auto"/>
            </w:tcBorders>
          </w:tcPr>
          <w:p w:rsidR="00E86EB2" w:rsidRPr="002D0B97" w:rsidRDefault="00E86EB2" w:rsidP="006E6659">
            <w:pPr>
              <w:jc w:val="both"/>
              <w:rPr>
                <w:color w:val="FF0000"/>
              </w:rPr>
            </w:pPr>
            <w:r w:rsidRPr="002D0B97">
              <w:t>Nesuri</w:t>
            </w:r>
            <w:r>
              <w:t>n</w:t>
            </w:r>
            <w:r w:rsidRPr="002D0B97">
              <w:t>ktos planuotos lėšos, nes patalpų suteikimo paslauga pradėta teikti tik nuo 2021 m. rugsėjo mėnesio</w:t>
            </w:r>
          </w:p>
        </w:tc>
      </w:tr>
      <w:tr w:rsidR="00E86EB2" w:rsidRPr="007F425A" w:rsidTr="00E86EB2">
        <w:trPr>
          <w:trHeight w:val="143"/>
        </w:trPr>
        <w:tc>
          <w:tcPr>
            <w:tcW w:w="2333"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r w:rsidRPr="007F425A">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E86EB2" w:rsidRPr="009115A4" w:rsidRDefault="00E86EB2" w:rsidP="006E6659">
            <w:pPr>
              <w:jc w:val="center"/>
            </w:pPr>
            <w:r w:rsidRPr="005F3593">
              <w:t>-</w:t>
            </w:r>
          </w:p>
        </w:tc>
        <w:tc>
          <w:tcPr>
            <w:tcW w:w="1438"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t>38,028</w:t>
            </w:r>
          </w:p>
        </w:tc>
        <w:tc>
          <w:tcPr>
            <w:tcW w:w="1283"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rPr>
                <w:color w:val="000000"/>
              </w:rPr>
              <w:t>28,46</w:t>
            </w:r>
          </w:p>
        </w:tc>
        <w:tc>
          <w:tcPr>
            <w:tcW w:w="3168"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p>
        </w:tc>
      </w:tr>
      <w:tr w:rsidR="00E86EB2" w:rsidRPr="007F425A" w:rsidTr="00E86EB2">
        <w:trPr>
          <w:trHeight w:val="125"/>
        </w:trPr>
        <w:tc>
          <w:tcPr>
            <w:tcW w:w="2333"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r w:rsidRPr="007F425A">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t>24,738</w:t>
            </w:r>
          </w:p>
        </w:tc>
        <w:tc>
          <w:tcPr>
            <w:tcW w:w="1438"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t>1,216</w:t>
            </w:r>
          </w:p>
        </w:tc>
        <w:tc>
          <w:tcPr>
            <w:tcW w:w="1283"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rPr>
                <w:color w:val="000000"/>
              </w:rPr>
              <w:t>4,92</w:t>
            </w:r>
          </w:p>
        </w:tc>
        <w:tc>
          <w:tcPr>
            <w:tcW w:w="3168"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p>
        </w:tc>
      </w:tr>
      <w:tr w:rsidR="00E86EB2" w:rsidRPr="007F425A" w:rsidTr="00E86EB2">
        <w:tc>
          <w:tcPr>
            <w:tcW w:w="2333"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r w:rsidRPr="007F425A">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t>23,137</w:t>
            </w:r>
          </w:p>
        </w:tc>
        <w:tc>
          <w:tcPr>
            <w:tcW w:w="1438"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t>0,161</w:t>
            </w:r>
          </w:p>
        </w:tc>
        <w:tc>
          <w:tcPr>
            <w:tcW w:w="1283"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r w:rsidRPr="005F3593">
              <w:rPr>
                <w:color w:val="000000"/>
              </w:rPr>
              <w:t>0,70</w:t>
            </w:r>
          </w:p>
        </w:tc>
        <w:tc>
          <w:tcPr>
            <w:tcW w:w="3168"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p>
        </w:tc>
      </w:tr>
      <w:tr w:rsidR="00E86EB2" w:rsidRPr="007F425A" w:rsidTr="00E86EB2">
        <w:trPr>
          <w:trHeight w:val="152"/>
        </w:trPr>
        <w:tc>
          <w:tcPr>
            <w:tcW w:w="2333" w:type="dxa"/>
            <w:tcBorders>
              <w:top w:val="single" w:sz="4" w:space="0" w:color="auto"/>
              <w:left w:val="single" w:sz="4" w:space="0" w:color="auto"/>
              <w:bottom w:val="single" w:sz="4" w:space="0" w:color="auto"/>
              <w:right w:val="single" w:sz="4" w:space="0" w:color="auto"/>
            </w:tcBorders>
            <w:hideMark/>
          </w:tcPr>
          <w:p w:rsidR="00E86EB2" w:rsidRPr="007F425A" w:rsidRDefault="00E86EB2" w:rsidP="006E6659">
            <w:r w:rsidRPr="007F425A">
              <w:t>Iš viso</w:t>
            </w:r>
          </w:p>
        </w:tc>
        <w:tc>
          <w:tcPr>
            <w:tcW w:w="1494" w:type="dxa"/>
            <w:tcBorders>
              <w:top w:val="single" w:sz="4" w:space="0" w:color="auto"/>
              <w:left w:val="single" w:sz="4" w:space="0" w:color="auto"/>
              <w:bottom w:val="single" w:sz="4" w:space="0" w:color="auto"/>
              <w:right w:val="single" w:sz="4" w:space="0" w:color="auto"/>
            </w:tcBorders>
            <w:vAlign w:val="bottom"/>
          </w:tcPr>
          <w:p w:rsidR="00E86EB2" w:rsidRPr="009115A4" w:rsidRDefault="00E86EB2" w:rsidP="006E6659">
            <w:pPr>
              <w:jc w:val="center"/>
            </w:pPr>
            <w:r w:rsidRPr="005F3593">
              <w:rPr>
                <w:color w:val="000000"/>
              </w:rPr>
              <w:t>1828,442</w:t>
            </w:r>
          </w:p>
        </w:tc>
        <w:tc>
          <w:tcPr>
            <w:tcW w:w="1438" w:type="dxa"/>
            <w:tcBorders>
              <w:top w:val="single" w:sz="4" w:space="0" w:color="auto"/>
              <w:left w:val="single" w:sz="4" w:space="0" w:color="auto"/>
              <w:bottom w:val="single" w:sz="4" w:space="0" w:color="auto"/>
              <w:right w:val="single" w:sz="4" w:space="0" w:color="auto"/>
            </w:tcBorders>
            <w:vAlign w:val="bottom"/>
          </w:tcPr>
          <w:p w:rsidR="00E86EB2" w:rsidRPr="009115A4" w:rsidRDefault="00E86EB2" w:rsidP="006E6659">
            <w:pPr>
              <w:jc w:val="center"/>
            </w:pPr>
            <w:r w:rsidRPr="005F3593">
              <w:rPr>
                <w:color w:val="000000"/>
              </w:rPr>
              <w:t>1677,732</w:t>
            </w:r>
          </w:p>
        </w:tc>
        <w:tc>
          <w:tcPr>
            <w:tcW w:w="1283"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p>
        </w:tc>
        <w:tc>
          <w:tcPr>
            <w:tcW w:w="3168" w:type="dxa"/>
            <w:tcBorders>
              <w:top w:val="single" w:sz="4" w:space="0" w:color="auto"/>
              <w:left w:val="single" w:sz="4" w:space="0" w:color="auto"/>
              <w:bottom w:val="single" w:sz="4" w:space="0" w:color="auto"/>
              <w:right w:val="single" w:sz="4" w:space="0" w:color="auto"/>
            </w:tcBorders>
          </w:tcPr>
          <w:p w:rsidR="00E86EB2" w:rsidRPr="009115A4" w:rsidRDefault="00E86EB2" w:rsidP="006E6659">
            <w:pPr>
              <w:jc w:val="center"/>
            </w:pPr>
          </w:p>
        </w:tc>
      </w:tr>
      <w:tr w:rsidR="00E86EB2" w:rsidRPr="007F425A" w:rsidTr="00E86EB2">
        <w:tc>
          <w:tcPr>
            <w:tcW w:w="5265" w:type="dxa"/>
            <w:gridSpan w:val="3"/>
            <w:tcBorders>
              <w:top w:val="single" w:sz="4" w:space="0" w:color="auto"/>
              <w:left w:val="single" w:sz="4" w:space="0" w:color="auto"/>
              <w:bottom w:val="single" w:sz="4" w:space="0" w:color="auto"/>
              <w:right w:val="single" w:sz="4" w:space="0" w:color="auto"/>
            </w:tcBorders>
          </w:tcPr>
          <w:p w:rsidR="00E86EB2" w:rsidRPr="007F425A" w:rsidRDefault="00E86EB2" w:rsidP="006E6659">
            <w:r w:rsidRPr="007F425A">
              <w:t xml:space="preserve">Kreditinis įsiskolinimas (pagal </w:t>
            </w:r>
            <w:r>
              <w:t>visus finansavimo šaltinius) 2022</w:t>
            </w:r>
            <w:r w:rsidRPr="007F425A">
              <w:t xml:space="preserve"> m. sausio 1 d. </w:t>
            </w:r>
            <w:r w:rsidRPr="00D248F2">
              <w:t>–</w:t>
            </w:r>
            <w:r>
              <w:t xml:space="preserve"> 942,07 Eur </w:t>
            </w:r>
          </w:p>
        </w:tc>
        <w:tc>
          <w:tcPr>
            <w:tcW w:w="1283" w:type="dxa"/>
            <w:tcBorders>
              <w:top w:val="single" w:sz="4" w:space="0" w:color="auto"/>
              <w:left w:val="single" w:sz="4" w:space="0" w:color="auto"/>
              <w:bottom w:val="single" w:sz="4" w:space="0" w:color="auto"/>
              <w:right w:val="single" w:sz="4" w:space="0" w:color="auto"/>
            </w:tcBorders>
          </w:tcPr>
          <w:p w:rsidR="00E86EB2" w:rsidRPr="007F425A" w:rsidRDefault="00E86EB2" w:rsidP="006E6659"/>
        </w:tc>
        <w:tc>
          <w:tcPr>
            <w:tcW w:w="3168" w:type="dxa"/>
            <w:tcBorders>
              <w:top w:val="single" w:sz="4" w:space="0" w:color="auto"/>
              <w:left w:val="single" w:sz="4" w:space="0" w:color="auto"/>
              <w:bottom w:val="single" w:sz="4" w:space="0" w:color="auto"/>
              <w:right w:val="single" w:sz="4" w:space="0" w:color="auto"/>
            </w:tcBorders>
          </w:tcPr>
          <w:p w:rsidR="00E86EB2" w:rsidRPr="007F425A" w:rsidRDefault="00E86EB2" w:rsidP="006E6659">
            <w:pPr>
              <w:jc w:val="both"/>
            </w:pPr>
            <w:r w:rsidRPr="00936062">
              <w:t>Paslaugų tiekėjai (UAB „Telia“, AB „Lietuvos paštas“, UAB Tele2) sąskaitas už 2021 m. gruodžio mėnesį išrašo tik 2022 m. sausio mėn. pradžioje</w:t>
            </w:r>
          </w:p>
        </w:tc>
      </w:tr>
    </w:tbl>
    <w:p w:rsidR="00E86EB2" w:rsidRDefault="00E86EB2" w:rsidP="00E86EB2">
      <w:pPr>
        <w:ind w:right="-22" w:firstLine="603"/>
        <w:jc w:val="both"/>
      </w:pPr>
    </w:p>
    <w:p w:rsidR="00E86EB2" w:rsidRDefault="00E86EB2" w:rsidP="00E86EB2">
      <w:pPr>
        <w:ind w:right="-22" w:firstLine="603"/>
        <w:jc w:val="both"/>
      </w:pPr>
      <w:bookmarkStart w:id="2" w:name="_GoBack"/>
      <w:bookmarkEnd w:id="2"/>
      <w:r>
        <w:t xml:space="preserve">Gimnazijoje 2021 m. Klaipėdos miesto savivaldybės administracijos Švietimo skyrius (toliau – Švietimo skyrius) vertino menų (teatro) mokyklinio brandos egzamino, </w:t>
      </w:r>
      <w:r w:rsidRPr="007A5DD4">
        <w:t>lietuvių kalbos ir literatūros</w:t>
      </w:r>
      <w:r>
        <w:t>,</w:t>
      </w:r>
      <w:r w:rsidRPr="007A5DD4">
        <w:t xml:space="preserve"> </w:t>
      </w:r>
      <w:r>
        <w:t>užsienio kalbos (anglų) valstybinių brandos egzaminų organizavimą ir vykdymą (pažeidimų nenustatyta).</w:t>
      </w:r>
    </w:p>
    <w:p w:rsidR="00E86EB2" w:rsidRDefault="00E86EB2" w:rsidP="00E86EB2">
      <w:pPr>
        <w:ind w:right="-22" w:firstLine="603"/>
        <w:jc w:val="both"/>
      </w:pPr>
      <w:r>
        <w:t>Nacionalinis visuomenės sveikatos centras prie Sveikatos apsaugos ministerijos atliko ūkinės komercinės veiklos vykdymo sąlygų ugdymo veiklai vertinimą. 2021-12-14 išduotas leidimas-higienos pasas Nr. (3-11 14.2.1.) LHP-5289.</w:t>
      </w:r>
    </w:p>
    <w:p w:rsidR="00E86EB2" w:rsidRDefault="00E86EB2" w:rsidP="00E86EB2">
      <w:pPr>
        <w:ind w:right="-22" w:firstLine="603"/>
        <w:jc w:val="both"/>
      </w:pPr>
      <w:r>
        <w:t>2021 m. Gimnazijoje liko neišspręstos tokios vidaus ir išorės faktorių sąlygotos problemos:  dėl ilgo nuotolinio mokymo(si) padaugėjo mokinių, turinčių mokymosi spragų; mokinių žinių lygis dažnai neatitiko jų įsivertinimų; suprastėjo dalies mokinių emocinė savijauta, mokymosi motyvacija, išryškėjo psichologinės, socialinės bendravimo problemos; dėl COVID-19 pandemijos valdymo Gimnazijos pedagogai ir administracija atlieka daug su ugdymu nesusijusių papildomų funkcijų (srautų valdymo, testavimo ir kt.), itin aktualus tampa pedagogų trūkumo klausimas.</w:t>
      </w:r>
    </w:p>
    <w:p w:rsidR="00E86EB2" w:rsidRDefault="00E86EB2" w:rsidP="00E86EB2">
      <w:pPr>
        <w:ind w:right="-22" w:firstLine="603"/>
        <w:jc w:val="both"/>
        <w:rPr>
          <w:color w:val="000000"/>
          <w:shd w:val="clear" w:color="auto" w:fill="FFFFFF"/>
        </w:rPr>
      </w:pPr>
      <w:r>
        <w:t xml:space="preserve">Planuodama 2022 m. veiklą, Gimnazijos bendruomenė susitarė dėl tokių veiklos prioritetų: pasirengti įgyvendinti atnaujintas bendrąsias programas; gerinti </w:t>
      </w:r>
      <w:r w:rsidRPr="00966955">
        <w:rPr>
          <w:color w:val="000000"/>
          <w:shd w:val="clear" w:color="auto" w:fill="FFFFFF"/>
        </w:rPr>
        <w:t>mokinių</w:t>
      </w:r>
      <w:r>
        <w:rPr>
          <w:color w:val="000000"/>
          <w:shd w:val="clear" w:color="auto" w:fill="FFFFFF"/>
        </w:rPr>
        <w:t xml:space="preserve"> </w:t>
      </w:r>
      <w:r w:rsidRPr="00966955">
        <w:rPr>
          <w:color w:val="000000"/>
          <w:shd w:val="clear" w:color="auto" w:fill="FFFFFF"/>
        </w:rPr>
        <w:t>pasiekimus</w:t>
      </w:r>
      <w:r>
        <w:rPr>
          <w:color w:val="000000"/>
          <w:shd w:val="clear" w:color="auto" w:fill="FFFFFF"/>
        </w:rPr>
        <w:t xml:space="preserve"> </w:t>
      </w:r>
      <w:r w:rsidRPr="00966955">
        <w:rPr>
          <w:color w:val="000000"/>
          <w:shd w:val="clear" w:color="auto" w:fill="FFFFFF"/>
        </w:rPr>
        <w:t>ir teik</w:t>
      </w:r>
      <w:r>
        <w:rPr>
          <w:color w:val="000000"/>
          <w:shd w:val="clear" w:color="auto" w:fill="FFFFFF"/>
        </w:rPr>
        <w:t xml:space="preserve">ti </w:t>
      </w:r>
      <w:r w:rsidRPr="00966955">
        <w:rPr>
          <w:color w:val="000000"/>
          <w:shd w:val="clear" w:color="auto" w:fill="FFFFFF"/>
        </w:rPr>
        <w:t xml:space="preserve"> veiksmingą švietimo pagalbą įvairių poreikių mokiniams</w:t>
      </w:r>
    </w:p>
    <w:p w:rsidR="002A09B2" w:rsidRDefault="002A09B2" w:rsidP="00E86EB2">
      <w:pPr>
        <w:rPr>
          <w:b/>
          <w:lang w:eastAsia="lt-LT"/>
        </w:rPr>
      </w:pPr>
    </w:p>
    <w:p w:rsidR="00E86EB2" w:rsidRDefault="00E86EB2" w:rsidP="00E86EB2">
      <w:pPr>
        <w:rPr>
          <w:b/>
          <w:lang w:eastAsia="lt-LT"/>
        </w:rPr>
      </w:pPr>
    </w:p>
    <w:p w:rsidR="00D57F27" w:rsidRPr="002A09B2" w:rsidRDefault="002A09B2" w:rsidP="002A09B2">
      <w:r w:rsidRPr="002A09B2">
        <w:rPr>
          <w:lang w:eastAsia="lt-LT"/>
        </w:rPr>
        <w:t>Direktorė</w:t>
      </w:r>
      <w:r w:rsidRPr="002A09B2">
        <w:rPr>
          <w:lang w:eastAsia="lt-LT"/>
        </w:rPr>
        <w:tab/>
      </w:r>
      <w:r w:rsidRPr="002A09B2">
        <w:rPr>
          <w:lang w:eastAsia="lt-LT"/>
        </w:rPr>
        <w:tab/>
      </w:r>
      <w:r w:rsidRPr="002A09B2">
        <w:rPr>
          <w:lang w:eastAsia="lt-LT"/>
        </w:rPr>
        <w:tab/>
      </w:r>
      <w:r w:rsidRPr="002A09B2">
        <w:rPr>
          <w:lang w:eastAsia="lt-LT"/>
        </w:rPr>
        <w:tab/>
      </w:r>
      <w:r w:rsidRPr="002A09B2">
        <w:rPr>
          <w:lang w:eastAsia="lt-LT"/>
        </w:rPr>
        <w:tab/>
      </w:r>
      <w:r w:rsidR="00E86EB2">
        <w:rPr>
          <w:lang w:eastAsia="lt-LT"/>
        </w:rPr>
        <w:t xml:space="preserve">       </w:t>
      </w:r>
      <w:r w:rsidRPr="002A09B2">
        <w:rPr>
          <w:lang w:eastAsia="lt-LT"/>
        </w:rPr>
        <w:t>Daiva Križinauskaitė</w:t>
      </w:r>
    </w:p>
    <w:sectPr w:rsidR="00D57F27" w:rsidRPr="002A09B2" w:rsidSect="00072990">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B5B3A">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6763A"/>
    <w:multiLevelType w:val="hybridMultilevel"/>
    <w:tmpl w:val="3B34BD6E"/>
    <w:lvl w:ilvl="0" w:tplc="EEB8C626">
      <w:start w:val="124"/>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72990"/>
    <w:rsid w:val="0019615E"/>
    <w:rsid w:val="002A09B2"/>
    <w:rsid w:val="0034183E"/>
    <w:rsid w:val="004476DD"/>
    <w:rsid w:val="00597EE8"/>
    <w:rsid w:val="005B434A"/>
    <w:rsid w:val="005F495C"/>
    <w:rsid w:val="00832CC9"/>
    <w:rsid w:val="008354D5"/>
    <w:rsid w:val="008B5B3A"/>
    <w:rsid w:val="008E6E82"/>
    <w:rsid w:val="00AF7D08"/>
    <w:rsid w:val="00B750B6"/>
    <w:rsid w:val="00C57681"/>
    <w:rsid w:val="00CA4D3B"/>
    <w:rsid w:val="00D42B72"/>
    <w:rsid w:val="00D57F27"/>
    <w:rsid w:val="00E33871"/>
    <w:rsid w:val="00E56A73"/>
    <w:rsid w:val="00E86EB2"/>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45EE7A-5B2B-4DA4-A0C5-2BDE24C4F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2A09B2"/>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6852</Words>
  <Characters>3906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14</cp:revision>
  <dcterms:created xsi:type="dcterms:W3CDTF">2013-10-25T06:49:00Z</dcterms:created>
  <dcterms:modified xsi:type="dcterms:W3CDTF">2022-02-25T11:35:00Z</dcterms:modified>
</cp:coreProperties>
</file>